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9C" w:rsidRDefault="00CE263E">
      <w:pPr>
        <w:pStyle w:val="30"/>
        <w:shd w:val="clear" w:color="auto" w:fill="auto"/>
        <w:spacing w:after="985"/>
        <w:ind w:left="20"/>
      </w:pPr>
      <w:r>
        <w:t>КОНТРОЛЬНО-СЧЕТНАЯ ПАЛАТА</w:t>
      </w:r>
      <w:r>
        <w:br/>
      </w:r>
      <w:r w:rsidR="009B2AA3">
        <w:t xml:space="preserve">ТАЛДОМСКОГО </w:t>
      </w:r>
      <w:r>
        <w:t>ГОРОДСКО</w:t>
      </w:r>
      <w:r w:rsidR="009B2AA3">
        <w:t>ГО</w:t>
      </w:r>
      <w:r>
        <w:t xml:space="preserve"> ОКРУГ</w:t>
      </w:r>
      <w:r w:rsidR="009B2AA3">
        <w:t>А</w:t>
      </w:r>
      <w:r>
        <w:br/>
        <w:t>МОСКОВСКОЙ ОБЛАСТИ</w:t>
      </w:r>
    </w:p>
    <w:p w:rsidR="001E0C9C" w:rsidRPr="00F24802" w:rsidRDefault="00CE263E">
      <w:pPr>
        <w:pStyle w:val="40"/>
        <w:shd w:val="clear" w:color="auto" w:fill="auto"/>
        <w:spacing w:before="0"/>
        <w:ind w:left="20"/>
        <w:rPr>
          <w:sz w:val="36"/>
          <w:szCs w:val="36"/>
        </w:rPr>
      </w:pPr>
      <w:r w:rsidRPr="00F24802">
        <w:rPr>
          <w:sz w:val="36"/>
          <w:szCs w:val="36"/>
        </w:rPr>
        <w:t>СТАНДАРТ</w:t>
      </w:r>
    </w:p>
    <w:p w:rsidR="001E0C9C" w:rsidRPr="007312E5" w:rsidRDefault="00CE263E">
      <w:pPr>
        <w:pStyle w:val="40"/>
        <w:shd w:val="clear" w:color="auto" w:fill="auto"/>
        <w:spacing w:before="0" w:after="276"/>
        <w:ind w:left="260"/>
        <w:jc w:val="left"/>
        <w:rPr>
          <w:sz w:val="28"/>
          <w:szCs w:val="28"/>
        </w:rPr>
      </w:pPr>
      <w:r w:rsidRPr="007312E5">
        <w:rPr>
          <w:sz w:val="28"/>
          <w:szCs w:val="28"/>
        </w:rPr>
        <w:t>ВНЕШНЕГО МУНИЦИПАЛЬНОГО ФИНАНСОВОГО КОНТРОЛЯ</w:t>
      </w:r>
    </w:p>
    <w:p w:rsidR="001E0C9C" w:rsidRPr="007312E5" w:rsidRDefault="00CE263E">
      <w:pPr>
        <w:pStyle w:val="30"/>
        <w:shd w:val="clear" w:color="auto" w:fill="auto"/>
        <w:spacing w:after="0" w:line="418" w:lineRule="exact"/>
        <w:ind w:left="20"/>
        <w:rPr>
          <w:sz w:val="28"/>
          <w:szCs w:val="28"/>
        </w:rPr>
      </w:pPr>
      <w:r w:rsidRPr="007312E5">
        <w:rPr>
          <w:sz w:val="28"/>
          <w:szCs w:val="28"/>
        </w:rPr>
        <w:t>«ОЦЕНКА ЭФФЕКТИВНОСТИ ПРЕДОСТАВЛЕНИЯ</w:t>
      </w:r>
      <w:r w:rsidRPr="007312E5">
        <w:rPr>
          <w:sz w:val="28"/>
          <w:szCs w:val="28"/>
        </w:rPr>
        <w:br/>
        <w:t>НАЛОГОВЫХ И ИНЫХ ЛЬГОТ И ПРЕИМУЩЕСТВ, ОЦЕНКА</w:t>
      </w:r>
      <w:r w:rsidRPr="007312E5">
        <w:rPr>
          <w:sz w:val="28"/>
          <w:szCs w:val="28"/>
        </w:rPr>
        <w:br/>
      </w:r>
      <w:r w:rsidRPr="007312E5">
        <w:rPr>
          <w:sz w:val="28"/>
          <w:szCs w:val="28"/>
        </w:rPr>
        <w:t xml:space="preserve">ЗАКОННОСТИ ПРЕДОСТАВЛЕНИЯ </w:t>
      </w:r>
      <w:r w:rsidRPr="007312E5">
        <w:rPr>
          <w:sz w:val="28"/>
          <w:szCs w:val="28"/>
        </w:rPr>
        <w:t>МУНИЦИПАЛЬНЫХ</w:t>
      </w:r>
      <w:r w:rsidRPr="007312E5">
        <w:rPr>
          <w:sz w:val="28"/>
          <w:szCs w:val="28"/>
        </w:rPr>
        <w:br/>
        <w:t>ГАРАНТИЙ И ПОРУЧИТЕЛЬСТВ ИЛИ ОБЕСПЕЧЕНИЯ</w:t>
      </w:r>
      <w:r w:rsidRPr="007312E5">
        <w:rPr>
          <w:sz w:val="28"/>
          <w:szCs w:val="28"/>
        </w:rPr>
        <w:br/>
        <w:t>ИСПОЛНЕНИЯ ОБЯЗАТЕЛЬСТВ ДРУГИМИ СПОСОБАМИ</w:t>
      </w:r>
      <w:r w:rsidRPr="007312E5">
        <w:rPr>
          <w:sz w:val="28"/>
          <w:szCs w:val="28"/>
        </w:rPr>
        <w:br/>
        <w:t>ПО СДЕЛКАМ, СОВЕРШАЕМЫМ ЮРИДИЧЕСКИМИ</w:t>
      </w:r>
      <w:r w:rsidRPr="007312E5">
        <w:rPr>
          <w:sz w:val="28"/>
          <w:szCs w:val="28"/>
        </w:rPr>
        <w:br/>
        <w:t>ЛИЦАМИ И ИНДИВИДУАЛЬНЫМИ</w:t>
      </w:r>
      <w:r w:rsidRPr="007312E5">
        <w:rPr>
          <w:sz w:val="28"/>
          <w:szCs w:val="28"/>
        </w:rPr>
        <w:br/>
        <w:t>ПРЕДПРИНИМАТЕЛЯМИ ЗА СЧЕТ СРЕДСТВ МЕСТНОГО</w:t>
      </w:r>
      <w:r w:rsidRPr="007312E5">
        <w:rPr>
          <w:sz w:val="28"/>
          <w:szCs w:val="28"/>
        </w:rPr>
        <w:br/>
        <w:t>БЮДЖЕТА И ИМУЩЕСТВА, НАХОДЯ</w:t>
      </w:r>
      <w:r w:rsidRPr="007312E5">
        <w:rPr>
          <w:sz w:val="28"/>
          <w:szCs w:val="28"/>
        </w:rPr>
        <w:t>ЩЕГОСЯ В</w:t>
      </w:r>
      <w:r w:rsidRPr="007312E5">
        <w:rPr>
          <w:sz w:val="28"/>
          <w:szCs w:val="28"/>
        </w:rPr>
        <w:br/>
        <w:t>МУНИЦИПАЛЬНОЙ СОБСТВЕННОСТИ</w:t>
      </w:r>
      <w:r w:rsidRPr="007312E5">
        <w:rPr>
          <w:sz w:val="28"/>
          <w:szCs w:val="28"/>
        </w:rPr>
        <w:br/>
      </w:r>
      <w:r w:rsidR="009B2AA3" w:rsidRPr="007312E5">
        <w:rPr>
          <w:sz w:val="28"/>
          <w:szCs w:val="28"/>
        </w:rPr>
        <w:t xml:space="preserve">ТАЛДОМСКОГО </w:t>
      </w:r>
      <w:r w:rsidRPr="007312E5">
        <w:rPr>
          <w:sz w:val="28"/>
          <w:szCs w:val="28"/>
        </w:rPr>
        <w:t>ГОРОДСКО</w:t>
      </w:r>
      <w:r w:rsidR="009B2AA3" w:rsidRPr="007312E5">
        <w:rPr>
          <w:sz w:val="28"/>
          <w:szCs w:val="28"/>
        </w:rPr>
        <w:t>ГО</w:t>
      </w:r>
      <w:r w:rsidRPr="007312E5">
        <w:rPr>
          <w:sz w:val="28"/>
          <w:szCs w:val="28"/>
        </w:rPr>
        <w:t xml:space="preserve"> ОКРУГ</w:t>
      </w:r>
      <w:r w:rsidR="009B2AA3" w:rsidRPr="007312E5">
        <w:rPr>
          <w:sz w:val="28"/>
          <w:szCs w:val="28"/>
        </w:rPr>
        <w:t>А</w:t>
      </w:r>
      <w:r w:rsidRPr="007312E5">
        <w:rPr>
          <w:sz w:val="28"/>
          <w:szCs w:val="28"/>
        </w:rPr>
        <w:br/>
      </w:r>
      <w:r w:rsidRPr="007312E5">
        <w:rPr>
          <w:sz w:val="28"/>
          <w:szCs w:val="28"/>
        </w:rPr>
        <w:t>МОСКОВСКОЙ ОБЛАСТИ</w:t>
      </w:r>
      <w:r w:rsidR="007312E5">
        <w:rPr>
          <w:sz w:val="28"/>
          <w:szCs w:val="28"/>
        </w:rPr>
        <w:t>»</w:t>
      </w:r>
    </w:p>
    <w:p w:rsidR="001E0C9C" w:rsidRDefault="00CE263E">
      <w:pPr>
        <w:pStyle w:val="20"/>
        <w:shd w:val="clear" w:color="auto" w:fill="auto"/>
        <w:spacing w:after="693"/>
        <w:ind w:left="20"/>
      </w:pPr>
      <w:r>
        <w:t xml:space="preserve">(начало действия: </w:t>
      </w:r>
      <w:r w:rsidR="009B2AA3">
        <w:t>16</w:t>
      </w:r>
      <w:r>
        <w:t>.</w:t>
      </w:r>
      <w:r w:rsidR="009B2AA3">
        <w:t>03</w:t>
      </w:r>
      <w:r>
        <w:t>.20</w:t>
      </w:r>
      <w:r w:rsidR="009B2AA3">
        <w:t>20</w:t>
      </w:r>
      <w:r>
        <w:t>)</w:t>
      </w:r>
    </w:p>
    <w:p w:rsidR="001E0C9C" w:rsidRDefault="00CE263E">
      <w:pPr>
        <w:pStyle w:val="20"/>
        <w:shd w:val="clear" w:color="auto" w:fill="auto"/>
        <w:spacing w:after="2260" w:line="322" w:lineRule="exact"/>
        <w:ind w:left="5900"/>
        <w:jc w:val="left"/>
      </w:pPr>
      <w:r>
        <w:t>УТВЕРЖДЕН Распоряжением Контрольно-счетной палаты от 1</w:t>
      </w:r>
      <w:r w:rsidR="009B2AA3">
        <w:t>6</w:t>
      </w:r>
      <w:r>
        <w:t>.</w:t>
      </w:r>
      <w:r w:rsidR="009B2AA3">
        <w:t>03</w:t>
      </w:r>
      <w:r>
        <w:t>.20</w:t>
      </w:r>
      <w:r w:rsidR="009B2AA3">
        <w:t>20</w:t>
      </w:r>
      <w:r>
        <w:t xml:space="preserve"> №</w:t>
      </w:r>
      <w:r w:rsidR="009B2AA3">
        <w:t>5</w:t>
      </w:r>
    </w:p>
    <w:p w:rsidR="009B2AA3" w:rsidRDefault="00CE263E">
      <w:pPr>
        <w:pStyle w:val="20"/>
        <w:shd w:val="clear" w:color="auto" w:fill="auto"/>
        <w:spacing w:after="327" w:line="322" w:lineRule="exact"/>
        <w:ind w:left="20"/>
      </w:pPr>
      <w:r>
        <w:t>20</w:t>
      </w:r>
      <w:r w:rsidR="009B2AA3">
        <w:t>20</w:t>
      </w:r>
      <w:r>
        <w:t xml:space="preserve"> год</w:t>
      </w:r>
    </w:p>
    <w:p w:rsidR="009B2AA3" w:rsidRDefault="009B2AA3">
      <w:pPr>
        <w:pStyle w:val="20"/>
        <w:shd w:val="clear" w:color="auto" w:fill="auto"/>
        <w:spacing w:after="327" w:line="322" w:lineRule="exact"/>
        <w:ind w:left="20"/>
      </w:pPr>
    </w:p>
    <w:p w:rsidR="009B2AA3" w:rsidRDefault="009B2AA3">
      <w:pPr>
        <w:pStyle w:val="20"/>
        <w:shd w:val="clear" w:color="auto" w:fill="auto"/>
        <w:spacing w:after="327" w:line="322" w:lineRule="exact"/>
        <w:ind w:left="20"/>
      </w:pPr>
    </w:p>
    <w:p w:rsidR="001E0C9C" w:rsidRDefault="00CE263E">
      <w:pPr>
        <w:pStyle w:val="20"/>
        <w:shd w:val="clear" w:color="auto" w:fill="auto"/>
        <w:spacing w:after="327" w:line="322" w:lineRule="exact"/>
        <w:ind w:left="20"/>
      </w:pPr>
      <w:r>
        <w:lastRenderedPageBreak/>
        <w:br/>
      </w:r>
      <w:r>
        <w:rPr>
          <w:rStyle w:val="5"/>
        </w:rPr>
        <w:t>2</w:t>
      </w:r>
    </w:p>
    <w:p w:rsidR="001E0C9C" w:rsidRDefault="00CE263E">
      <w:pPr>
        <w:pStyle w:val="40"/>
        <w:shd w:val="clear" w:color="auto" w:fill="auto"/>
        <w:spacing w:before="0" w:after="660"/>
      </w:pPr>
      <w:r>
        <w:t>СОДЕРЖАНИЕ</w:t>
      </w:r>
    </w:p>
    <w:p w:rsidR="001E0C9C" w:rsidRDefault="00CE263E">
      <w:pPr>
        <w:pStyle w:val="10"/>
        <w:numPr>
          <w:ilvl w:val="0"/>
          <w:numId w:val="1"/>
        </w:numPr>
        <w:shd w:val="clear" w:color="auto" w:fill="auto"/>
        <w:tabs>
          <w:tab w:val="left" w:pos="349"/>
          <w:tab w:val="left" w:leader="dot" w:pos="9366"/>
        </w:tabs>
        <w:spacing w:before="0" w:after="5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t>Общие положения</w:t>
        </w:r>
        <w:r>
          <w:tab/>
        </w:r>
        <w:r w:rsidR="00D53872">
          <w:t>.</w:t>
        </w:r>
        <w:r>
          <w:t>3</w:t>
        </w:r>
      </w:hyperlink>
    </w:p>
    <w:p w:rsidR="001E0C9C" w:rsidRDefault="00CE263E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475" w:lineRule="exact"/>
      </w:pPr>
      <w:r>
        <w:t>Требования к порядку организации проведения оценки эффективности</w:t>
      </w:r>
    </w:p>
    <w:p w:rsidR="001E0C9C" w:rsidRDefault="00CE263E">
      <w:pPr>
        <w:pStyle w:val="10"/>
        <w:shd w:val="clear" w:color="auto" w:fill="auto"/>
        <w:tabs>
          <w:tab w:val="left" w:leader="dot" w:pos="9366"/>
        </w:tabs>
        <w:spacing w:before="0" w:after="0" w:line="475" w:lineRule="exact"/>
      </w:pPr>
      <w:r>
        <w:t>предоставления налоговых и иных льгот и преимуществ</w:t>
      </w:r>
      <w:r>
        <w:tab/>
        <w:t xml:space="preserve"> 6</w:t>
      </w:r>
    </w:p>
    <w:p w:rsidR="001E0C9C" w:rsidRDefault="00CE263E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475" w:lineRule="exact"/>
      </w:pPr>
      <w:r>
        <w:t>Требования к проведению оценки эффективности предоставления налоговых</w:t>
      </w:r>
    </w:p>
    <w:p w:rsidR="001E0C9C" w:rsidRDefault="00CE263E">
      <w:pPr>
        <w:pStyle w:val="10"/>
        <w:shd w:val="clear" w:color="auto" w:fill="auto"/>
        <w:tabs>
          <w:tab w:val="left" w:leader="dot" w:pos="9366"/>
        </w:tabs>
        <w:spacing w:before="0" w:after="0" w:line="475" w:lineRule="exact"/>
      </w:pPr>
      <w:r>
        <w:t>и иных льгот и преимуществ</w:t>
      </w:r>
      <w:r>
        <w:tab/>
      </w:r>
      <w:r w:rsidR="00D53872">
        <w:t>.</w:t>
      </w:r>
      <w:r>
        <w:t>7</w:t>
      </w:r>
      <w:r>
        <w:fldChar w:fldCharType="end"/>
      </w:r>
    </w:p>
    <w:p w:rsidR="001E0C9C" w:rsidRDefault="00CE263E" w:rsidP="00F24802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475" w:lineRule="exact"/>
        <w:jc w:val="both"/>
      </w:pPr>
      <w:r>
        <w:t>Требования к порядку организации и проведению оценки эффективности предоставления муниципальных гар</w:t>
      </w:r>
      <w:r>
        <w:t>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</w:t>
      </w:r>
      <w:r w:rsidR="00F24802">
        <w:t xml:space="preserve"> </w:t>
      </w:r>
      <w:r>
        <w:t>местного бюджета и имущества, находящегося в муниципальной собственности</w:t>
      </w:r>
      <w:r w:rsidR="00F24802">
        <w:t>…………………………</w:t>
      </w:r>
      <w:r>
        <w:tab/>
      </w:r>
      <w:r w:rsidR="00D53872">
        <w:t>.....</w:t>
      </w:r>
      <w:bookmarkStart w:id="0" w:name="_GoBack"/>
      <w:bookmarkEnd w:id="0"/>
      <w:r w:rsidR="00D53872">
        <w:t>9</w:t>
      </w:r>
    </w:p>
    <w:p w:rsidR="001E0C9C" w:rsidRDefault="00CE263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jc w:val="both"/>
      </w:pPr>
      <w:r>
        <w:t xml:space="preserve">Порядок оформления результатов проведения контрольного мероприятия. </w:t>
      </w:r>
      <w:r w:rsidR="00F24802">
        <w:t>……</w:t>
      </w:r>
      <w:r w:rsidR="00D53872">
        <w:t>…</w:t>
      </w:r>
      <w:r>
        <w:t>10</w:t>
      </w:r>
    </w:p>
    <w:p w:rsidR="002607D7" w:rsidRDefault="002607D7" w:rsidP="002607D7">
      <w:pPr>
        <w:pStyle w:val="20"/>
        <w:shd w:val="clear" w:color="auto" w:fill="auto"/>
        <w:tabs>
          <w:tab w:val="left" w:pos="373"/>
        </w:tabs>
        <w:spacing w:after="0"/>
        <w:jc w:val="both"/>
        <w:sectPr w:rsidR="002607D7">
          <w:pgSz w:w="11900" w:h="16840"/>
          <w:pgMar w:top="1137" w:right="878" w:bottom="1442" w:left="1336" w:header="0" w:footer="3" w:gutter="0"/>
          <w:cols w:space="720"/>
          <w:noEndnote/>
          <w:docGrid w:linePitch="360"/>
        </w:sectPr>
      </w:pPr>
    </w:p>
    <w:p w:rsidR="001E0C9C" w:rsidRDefault="00CE263E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568"/>
        </w:tabs>
        <w:spacing w:after="46"/>
        <w:ind w:left="3260" w:firstLine="0"/>
      </w:pPr>
      <w:bookmarkStart w:id="1" w:name="bookmark0"/>
      <w:r>
        <w:lastRenderedPageBreak/>
        <w:t>Общие положения</w:t>
      </w:r>
      <w:bookmarkEnd w:id="1"/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 w:line="480" w:lineRule="exact"/>
        <w:ind w:firstLine="780"/>
        <w:jc w:val="both"/>
      </w:pPr>
      <w:r>
        <w:t xml:space="preserve">Стандарт внешнего муниципального финансового контроля «Оценка эффективности предоставления налоговых и иных льгот и преимуществ, оценка </w:t>
      </w:r>
      <w:r>
        <w:t>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</w:t>
      </w:r>
      <w:r>
        <w:t xml:space="preserve">егося в муниципальной собственности </w:t>
      </w:r>
      <w:r w:rsidR="0036479A">
        <w:t>Талдомского г</w:t>
      </w:r>
      <w:r>
        <w:t>ородско</w:t>
      </w:r>
      <w:r w:rsidR="0036479A">
        <w:t>го</w:t>
      </w:r>
      <w:r>
        <w:t xml:space="preserve"> округ</w:t>
      </w:r>
      <w:r w:rsidR="0036479A">
        <w:t>а</w:t>
      </w:r>
      <w:r>
        <w:t xml:space="preserve"> Московской области</w:t>
      </w:r>
      <w:r>
        <w:t xml:space="preserve"> (далее - Стандарт) разработан в соответствии с Бюджетным кодексом Российской Федерации, Федеральным законом от 07.02.2011 № 6-ФЗ «Об общих принц</w:t>
      </w:r>
      <w:r>
        <w:t xml:space="preserve">ипах организации и деятельности контрольно-счётных органов субъектов Российской Федерации и муниципальных образований», Положением о Контрольно-счетной палате </w:t>
      </w:r>
      <w:r w:rsidR="0036479A">
        <w:t>Талдомского городского округа</w:t>
      </w:r>
      <w:r>
        <w:t xml:space="preserve"> Московской области</w:t>
      </w:r>
      <w:r>
        <w:t>, принятым Решением Со</w:t>
      </w:r>
      <w:r>
        <w:t>вета депутатов</w:t>
      </w:r>
      <w:r w:rsidR="0036479A">
        <w:t xml:space="preserve"> Талдомского</w:t>
      </w:r>
      <w:r>
        <w:t xml:space="preserve"> городского округа</w:t>
      </w:r>
      <w:r>
        <w:t xml:space="preserve"> от </w:t>
      </w:r>
      <w:r w:rsidR="0036479A">
        <w:t>31</w:t>
      </w:r>
      <w:r>
        <w:t>.</w:t>
      </w:r>
      <w:r w:rsidR="0036479A">
        <w:t>01</w:t>
      </w:r>
      <w:r>
        <w:t>.2019 №1</w:t>
      </w:r>
      <w:r w:rsidR="0036479A">
        <w:t>38</w:t>
      </w:r>
      <w:r>
        <w:t xml:space="preserve"> (далее - Положение о КСП).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 w:line="480" w:lineRule="exact"/>
        <w:ind w:firstLine="780"/>
        <w:jc w:val="both"/>
      </w:pPr>
      <w:r>
        <w:t>При подготовке Стандарта учтены положения Общих требований к стандартам внешнего государственного и муниципального контроля для проведения контрольных и экспертно-ан</w:t>
      </w:r>
      <w:r>
        <w:t>алитических мероприятий контрольно-счётными органами субъектов Российской Федерации и муниципальных образований, утверждённых Коллегией Счётной палаты Российской Федерации (протокол от 17.10.2014 № 47К (993), а также стандартов внешнего муниципального фина</w:t>
      </w:r>
      <w:r>
        <w:t>нсового контроля Контрольно</w:t>
      </w:r>
      <w:r w:rsidR="001F4ADB">
        <w:t>-</w:t>
      </w:r>
      <w:r>
        <w:softHyphen/>
        <w:t xml:space="preserve">счетной палаты </w:t>
      </w:r>
      <w:r w:rsidR="001F4ADB">
        <w:t>Талдомского городского округа</w:t>
      </w:r>
      <w:r>
        <w:t xml:space="preserve"> </w:t>
      </w:r>
      <w:r>
        <w:t>Московской области</w:t>
      </w:r>
      <w:r>
        <w:t xml:space="preserve"> (далее - КСП).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after="0" w:line="480" w:lineRule="exact"/>
        <w:jc w:val="both"/>
        <w:sectPr w:rsidR="001E0C9C">
          <w:pgSz w:w="11900" w:h="16840"/>
          <w:pgMar w:top="1426" w:right="853" w:bottom="1008" w:left="1605" w:header="0" w:footer="3" w:gutter="0"/>
          <w:cols w:space="720"/>
          <w:noEndnote/>
          <w:docGrid w:linePitch="360"/>
        </w:sectPr>
      </w:pPr>
      <w:r>
        <w:t>Стандарт является специализированным стандартом и предназначен для методологического обеспечения реал</w:t>
      </w:r>
      <w:r>
        <w:t>изации полномочий КСП по осуществлению оценки эффективности предоставления налоговых и иных льгот и преимуществ, оценки законности предоставления муниципальны</w:t>
      </w:r>
      <w:r w:rsidR="00D36EE1">
        <w:t xml:space="preserve">х   </w:t>
      </w:r>
    </w:p>
    <w:p w:rsidR="001E0C9C" w:rsidRDefault="00CE263E">
      <w:pPr>
        <w:pStyle w:val="20"/>
        <w:shd w:val="clear" w:color="auto" w:fill="auto"/>
        <w:tabs>
          <w:tab w:val="left" w:pos="710"/>
        </w:tabs>
        <w:spacing w:after="0" w:line="480" w:lineRule="exact"/>
        <w:jc w:val="both"/>
      </w:pPr>
      <w:r>
        <w:lastRenderedPageBreak/>
        <w:t xml:space="preserve">гарантий и поручительств или обеспечения исполнения обязательств другими способами по сделкам, </w:t>
      </w:r>
      <w:r>
        <w:t>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="00D36EE1">
        <w:t xml:space="preserve"> Талдомского городского округа</w:t>
      </w:r>
      <w:r>
        <w:t xml:space="preserve"> </w:t>
      </w:r>
      <w:r>
        <w:t>Московской области</w:t>
      </w:r>
      <w:r>
        <w:t xml:space="preserve"> (далее -</w:t>
      </w:r>
      <w:r w:rsidR="00D36EE1">
        <w:t xml:space="preserve"> Талдомский</w:t>
      </w:r>
      <w:r>
        <w:t xml:space="preserve"> городской окру</w:t>
      </w:r>
      <w:r>
        <w:t>г</w:t>
      </w:r>
      <w:r>
        <w:t>).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480" w:lineRule="exact"/>
        <w:ind w:firstLine="760"/>
        <w:jc w:val="both"/>
      </w:pPr>
      <w:r>
        <w:t>Целью Стандарта является определение общих правил и процедур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</w:t>
      </w:r>
      <w:r>
        <w:t xml:space="preserve">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="003056AA">
        <w:t xml:space="preserve">Талдомского </w:t>
      </w:r>
      <w:r>
        <w:t>городского округа</w:t>
      </w:r>
      <w:r>
        <w:t>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480" w:lineRule="exact"/>
        <w:ind w:firstLine="760"/>
        <w:jc w:val="both"/>
      </w:pPr>
      <w:r>
        <w:t>Задачами Стандарта являются: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480" w:lineRule="exact"/>
        <w:ind w:firstLine="760"/>
        <w:jc w:val="both"/>
      </w:pPr>
      <w:r>
        <w:t>оп</w:t>
      </w:r>
      <w:r>
        <w:t>ределение методики оценки эффективности предоставляемых налоговых и иных льгот и преимуществ;</w:t>
      </w:r>
    </w:p>
    <w:p w:rsidR="001E0C9C" w:rsidRDefault="00CE263E" w:rsidP="003056AA">
      <w:pPr>
        <w:pStyle w:val="20"/>
        <w:numPr>
          <w:ilvl w:val="0"/>
          <w:numId w:val="3"/>
        </w:numPr>
        <w:shd w:val="clear" w:color="auto" w:fill="auto"/>
        <w:tabs>
          <w:tab w:val="left" w:pos="1142"/>
          <w:tab w:val="left" w:pos="3208"/>
        </w:tabs>
        <w:spacing w:after="0" w:line="480" w:lineRule="exact"/>
        <w:ind w:firstLine="760"/>
        <w:jc w:val="both"/>
      </w:pPr>
      <w:r>
        <w:t>установление</w:t>
      </w:r>
      <w:r>
        <w:tab/>
        <w:t>последовательности действий по оценке</w:t>
      </w:r>
      <w:r w:rsidR="003056AA">
        <w:t xml:space="preserve"> </w:t>
      </w:r>
      <w:r>
        <w:t>эффективности предоставления налоговых и иных льгот и преимуществ;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480" w:lineRule="exact"/>
        <w:ind w:firstLine="760"/>
        <w:jc w:val="both"/>
      </w:pPr>
      <w:r>
        <w:t xml:space="preserve">установление требований к </w:t>
      </w:r>
      <w:r>
        <w:t>предоставлению результатов оценки эффективности предоставления налоговых и иных льгот и преимуществ;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480" w:lineRule="exact"/>
        <w:ind w:firstLine="760"/>
        <w:jc w:val="both"/>
      </w:pPr>
      <w:r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</w:t>
      </w:r>
      <w:r>
        <w:t>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="003056AA">
        <w:t xml:space="preserve"> Талдомского</w:t>
      </w:r>
      <w:r>
        <w:t xml:space="preserve"> городского округа</w:t>
      </w:r>
      <w:r>
        <w:t>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485" w:lineRule="exact"/>
        <w:ind w:firstLine="760"/>
        <w:jc w:val="both"/>
      </w:pPr>
      <w:r>
        <w:t>При проведении оценки эффективности предоставления налоговых и иных льгот и преим</w:t>
      </w:r>
      <w:r>
        <w:t>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</w:t>
      </w:r>
      <w:r>
        <w:t xml:space="preserve">щества, находящегося в </w:t>
      </w:r>
      <w:r>
        <w:lastRenderedPageBreak/>
        <w:t>муниципальной собственности</w:t>
      </w:r>
      <w:r w:rsidR="003056AA">
        <w:t xml:space="preserve"> Талдомского</w:t>
      </w:r>
      <w:r>
        <w:t xml:space="preserve"> городского округа</w:t>
      </w:r>
      <w:r>
        <w:t>, сотрудники КСП обязаны руководствоваться Конституцией Российской Федерации, Федеральным законом от 07.02.2011 № 6-ФЗ «Об общих принципах организации и деятельности контрольно</w:t>
      </w:r>
      <w:r w:rsidR="003056AA">
        <w:t>-</w:t>
      </w:r>
      <w:r>
        <w:softHyphen/>
        <w:t>счётных органов субъектов Российской Федерации и муниципальных образований», бюджетным законодательством Российской Федерации, законодательством Российской Федерации о налогах и сборах, Положением о КСП, иными нормативными правовыми актами Российской Феде</w:t>
      </w:r>
      <w:r>
        <w:t>рации, Регламентом КСП, настоящим Стандартом и иными стандартами КСП.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По вопросам, порядок решения которых не урегулирован настоящим Стандартом, решение принимается Председателем КСП и оформляется правовым актом КСП.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Внесение изменений в настоящий Стандарт</w:t>
      </w:r>
      <w:r>
        <w:t xml:space="preserve"> осуществляется распоряжением КСП.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65"/>
        </w:tabs>
        <w:spacing w:after="0" w:line="480" w:lineRule="exact"/>
        <w:ind w:firstLine="760"/>
        <w:jc w:val="both"/>
      </w:pPr>
      <w:r>
        <w:t>Понятия, используемые в настоящем Стандарте: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60"/>
        <w:jc w:val="both"/>
      </w:pPr>
      <w:r>
        <w:rPr>
          <w:rStyle w:val="21"/>
        </w:rPr>
        <w:t>налоговая льгота</w:t>
      </w:r>
      <w: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</w:t>
      </w:r>
      <w:r>
        <w:t xml:space="preserve"> уплачивать его в меньшем размере;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60"/>
        <w:jc w:val="both"/>
      </w:pPr>
      <w:r>
        <w:rPr>
          <w:rStyle w:val="21"/>
        </w:rPr>
        <w:t>оценка эффективности -</w:t>
      </w:r>
      <w:r>
        <w:t xml:space="preserve">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</w:t>
      </w:r>
      <w:r>
        <w:t>раслей (видов деятельности);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60"/>
        <w:jc w:val="both"/>
      </w:pPr>
      <w:r>
        <w:rPr>
          <w:rStyle w:val="21"/>
        </w:rPr>
        <w:t>бюджетная эффективность -</w:t>
      </w:r>
      <w:r>
        <w:t xml:space="preserve">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</w:t>
      </w:r>
      <w:r>
        <w:t>ы бюджета;</w:t>
      </w:r>
    </w:p>
    <w:p w:rsidR="001E0C9C" w:rsidRDefault="00CE263E">
      <w:pPr>
        <w:pStyle w:val="20"/>
        <w:shd w:val="clear" w:color="auto" w:fill="auto"/>
        <w:spacing w:after="0" w:line="475" w:lineRule="exact"/>
        <w:ind w:firstLine="740"/>
        <w:jc w:val="both"/>
      </w:pPr>
      <w:r>
        <w:rPr>
          <w:rStyle w:val="21"/>
        </w:rPr>
        <w:t>социальная эффективность</w:t>
      </w:r>
      <w:r>
        <w:t xml:space="preserve"> -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 либо как показатель </w:t>
      </w:r>
      <w:r>
        <w:t xml:space="preserve">социальной </w:t>
      </w:r>
      <w:r>
        <w:lastRenderedPageBreak/>
        <w:t>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</w:p>
    <w:p w:rsidR="001E0C9C" w:rsidRDefault="00CE263E">
      <w:pPr>
        <w:pStyle w:val="20"/>
        <w:shd w:val="clear" w:color="auto" w:fill="auto"/>
        <w:spacing w:after="0" w:line="475" w:lineRule="exact"/>
        <w:ind w:firstLine="740"/>
        <w:jc w:val="both"/>
      </w:pPr>
      <w:r>
        <w:rPr>
          <w:rStyle w:val="21"/>
        </w:rPr>
        <w:t>экономическая эффективность</w:t>
      </w:r>
      <w:r>
        <w:t xml:space="preserve"> - это результат, который можно получить, соизмерив по</w:t>
      </w:r>
      <w:r>
        <w:t>казатели доходности производства по отношению к общим затратам и использованным ресурсам;</w:t>
      </w:r>
    </w:p>
    <w:p w:rsidR="001E0C9C" w:rsidRDefault="00CE263E">
      <w:pPr>
        <w:pStyle w:val="20"/>
        <w:shd w:val="clear" w:color="auto" w:fill="auto"/>
        <w:spacing w:after="476" w:line="480" w:lineRule="exact"/>
        <w:ind w:firstLine="740"/>
        <w:jc w:val="both"/>
      </w:pPr>
      <w:r>
        <w:rPr>
          <w:rStyle w:val="21"/>
        </w:rPr>
        <w:t>муниципальная гарантия</w:t>
      </w:r>
      <w:r>
        <w:t xml:space="preserve"> - вид долгового обязательства, в силу которого городской округ Дзержинский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</w:t>
      </w:r>
      <w:r>
        <w:t>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1E0C9C" w:rsidRDefault="00CE263E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292"/>
        </w:tabs>
        <w:spacing w:after="0" w:line="485" w:lineRule="exact"/>
        <w:ind w:firstLine="1040"/>
      </w:pPr>
      <w:bookmarkStart w:id="2" w:name="bookmark1"/>
      <w:r>
        <w:t>Требования к порядку</w:t>
      </w:r>
      <w:r>
        <w:t xml:space="preserve"> организации проведения оценки эффективности предоставления налоговых и иных льгот и преимуществ</w:t>
      </w:r>
      <w:bookmarkEnd w:id="2"/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after="0" w:line="475" w:lineRule="exact"/>
        <w:ind w:firstLine="740"/>
        <w:jc w:val="both"/>
      </w:pPr>
      <w:r>
        <w:t>Контрольные мероприятия по вопросам целевого использования средств, высвободившихся от налогообложения в результате предоставления налоговых льгот, оценки эффе</w:t>
      </w:r>
      <w:r>
        <w:t>ктивности предоставления налоговых и иных льгот и преимуществ, проводятся на основании плана работы КСП на текущий год.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after="0" w:line="475" w:lineRule="exact"/>
        <w:ind w:firstLine="740"/>
        <w:jc w:val="both"/>
      </w:pPr>
      <w:r>
        <w:t>Подготовка организационно-распорядительных документов по проведению контрольного мероприятия и непосредственное его проведение осуществл</w:t>
      </w:r>
      <w:r>
        <w:t>яются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480" w:lineRule="exact"/>
        <w:ind w:firstLine="740"/>
        <w:jc w:val="both"/>
      </w:pPr>
      <w:r>
        <w:t>Объекты контрольного мероприятия определяются в соответствии со Стандартом внешнего муниципального финансового контроля «Об</w:t>
      </w:r>
      <w:r>
        <w:t>щие правила проведения контрольного мероприятия» и статьей 266.1 Бюджетного кодекса Российской Федерации.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475" w:lineRule="exact"/>
        <w:ind w:firstLine="740"/>
        <w:jc w:val="both"/>
      </w:pPr>
      <w:r>
        <w:t xml:space="preserve">Цель проведения контрольных мероприятий: целевое использование средств, высвободившихся от налогообложения в результате предоставления </w:t>
      </w:r>
      <w:r>
        <w:lastRenderedPageBreak/>
        <w:t>налоговых льгот</w:t>
      </w:r>
      <w:r>
        <w:t>, оценка эффективности предоставления налоговых и иных льгот и преимуществ.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471"/>
        </w:tabs>
        <w:spacing w:after="484" w:line="480" w:lineRule="exact"/>
        <w:ind w:firstLine="740"/>
        <w:jc w:val="both"/>
      </w:pPr>
      <w:r>
        <w:t>Предметом контрольного мероприятия является процесс предоставления и использования налоговых и иных льгот и преимуществ за счет средств местного бюджета.</w:t>
      </w:r>
    </w:p>
    <w:p w:rsidR="001E0C9C" w:rsidRDefault="00CE263E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672"/>
        </w:tabs>
        <w:spacing w:after="0" w:line="475" w:lineRule="exact"/>
        <w:ind w:left="2160"/>
      </w:pPr>
      <w:bookmarkStart w:id="3" w:name="bookmark2"/>
      <w:r>
        <w:t xml:space="preserve">Требования к </w:t>
      </w:r>
      <w:r>
        <w:t>проведению оценки эффективности предоставления налоговых и иных льгот и преимуществ</w:t>
      </w:r>
      <w:bookmarkEnd w:id="3"/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475" w:lineRule="exact"/>
        <w:ind w:firstLine="740"/>
        <w:jc w:val="both"/>
      </w:pPr>
      <w:r>
        <w:t>Для обеспечения проведения оценки бюджетной, экономической и социальной эффективности налоговых или иных льгот и преимуществ КСП направляет запрос в налоговые и иные компет</w:t>
      </w:r>
      <w:r>
        <w:t>ентные органы о предоставлении информации за оцениваемый период о суммах налоговых льгот в разрезе категорий налогоплательщиков и видов налогов.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475" w:lineRule="exact"/>
        <w:ind w:firstLine="740"/>
        <w:jc w:val="both"/>
      </w:pPr>
      <w:r>
        <w:t>Также КСП может запросить у налогоплательщиков либо иных получателей сведения об экономических и финансовых пок</w:t>
      </w:r>
      <w:r>
        <w:t>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475" w:lineRule="exact"/>
        <w:ind w:firstLine="740"/>
        <w:jc w:val="both"/>
      </w:pPr>
      <w:r>
        <w:t>Для оценки эффективности налоговых льгот используются следующие критерии:</w:t>
      </w:r>
    </w:p>
    <w:p w:rsidR="001E0C9C" w:rsidRDefault="00CE263E">
      <w:pPr>
        <w:pStyle w:val="20"/>
        <w:numPr>
          <w:ilvl w:val="2"/>
          <w:numId w:val="2"/>
        </w:numPr>
        <w:shd w:val="clear" w:color="auto" w:fill="auto"/>
        <w:tabs>
          <w:tab w:val="left" w:pos="1471"/>
        </w:tabs>
        <w:spacing w:after="0" w:line="475" w:lineRule="exact"/>
        <w:ind w:firstLine="740"/>
        <w:jc w:val="both"/>
      </w:pPr>
      <w:r>
        <w:t>Бюджетная эффективность, под ко</w:t>
      </w:r>
      <w:r>
        <w:t>торой понимается влияние налоговых льгот на доходы местного бюджета (увеличение налогооблагаемой базы, прирост налоговых платежей в местный бюджет). Бюджетная эффективность налоговых льгот рассчитывается по следующей формуле:</w:t>
      </w:r>
    </w:p>
    <w:p w:rsidR="001E0C9C" w:rsidRDefault="003056AA">
      <w:pPr>
        <w:pStyle w:val="60"/>
        <w:shd w:val="clear" w:color="auto" w:fill="auto"/>
        <w:ind w:left="2580"/>
      </w:pPr>
      <w:r>
        <w:rPr>
          <w:rStyle w:val="613pt"/>
        </w:rPr>
        <w:t>∆</w:t>
      </w:r>
      <w:r w:rsidR="00CE263E">
        <w:rPr>
          <w:rStyle w:val="613pt"/>
        </w:rPr>
        <w:t xml:space="preserve">НП </w:t>
      </w:r>
      <w:r w:rsidR="00CE263E">
        <w:rPr>
          <w:rStyle w:val="61"/>
        </w:rPr>
        <w:t xml:space="preserve">+ </w:t>
      </w:r>
      <w:r w:rsidRPr="003056AA">
        <w:rPr>
          <w:rStyle w:val="61"/>
          <w:b/>
          <w:bCs/>
          <w:sz w:val="24"/>
          <w:szCs w:val="24"/>
        </w:rPr>
        <w:t>∑</w:t>
      </w:r>
      <w:r w:rsidR="00CE263E" w:rsidRPr="003056AA">
        <w:rPr>
          <w:rStyle w:val="61"/>
          <w:b/>
          <w:bCs/>
          <w:sz w:val="24"/>
          <w:szCs w:val="24"/>
        </w:rPr>
        <w:t>НЛ</w:t>
      </w:r>
      <w:r>
        <w:rPr>
          <w:rStyle w:val="61"/>
        </w:rPr>
        <w:t xml:space="preserve"> </w:t>
      </w:r>
      <w:r w:rsidRPr="003056AA">
        <w:rPr>
          <w:rStyle w:val="61"/>
        </w:rPr>
        <w:t>(Н</w:t>
      </w:r>
      <w:r w:rsidR="00CE263E" w:rsidRPr="003056AA">
        <w:rPr>
          <w:rStyle w:val="61"/>
        </w:rPr>
        <w:t>ифл ,ЗН,ТС)</w:t>
      </w:r>
    </w:p>
    <w:p w:rsidR="001E0C9C" w:rsidRDefault="00CE263E">
      <w:pPr>
        <w:pStyle w:val="20"/>
        <w:shd w:val="clear" w:color="auto" w:fill="auto"/>
        <w:tabs>
          <w:tab w:val="left" w:leader="hyphen" w:pos="2276"/>
          <w:tab w:val="left" w:leader="hyphen" w:pos="6017"/>
        </w:tabs>
        <w:spacing w:after="0" w:line="341" w:lineRule="exact"/>
        <w:ind w:left="1620"/>
        <w:jc w:val="both"/>
      </w:pPr>
      <w:r w:rsidRPr="002607D7">
        <w:rPr>
          <w:rStyle w:val="21"/>
          <w:b/>
          <w:bCs/>
        </w:rPr>
        <w:t>К</w:t>
      </w:r>
      <w:r w:rsidR="003056AA" w:rsidRPr="002607D7">
        <w:rPr>
          <w:rStyle w:val="21"/>
          <w:b/>
          <w:bCs/>
          <w:sz w:val="20"/>
          <w:szCs w:val="20"/>
        </w:rPr>
        <w:t>БЭ</w:t>
      </w:r>
      <w:r w:rsidR="002607D7">
        <w:rPr>
          <w:rStyle w:val="21"/>
          <w:sz w:val="20"/>
          <w:szCs w:val="20"/>
        </w:rPr>
        <w:t xml:space="preserve"> =</w:t>
      </w:r>
      <w:r>
        <w:tab/>
      </w:r>
      <w:r>
        <w:tab/>
        <w:t xml:space="preserve">, </w:t>
      </w:r>
      <w:r>
        <w:t>где:</w:t>
      </w:r>
    </w:p>
    <w:p w:rsidR="001E0C9C" w:rsidRDefault="003056AA">
      <w:pPr>
        <w:pStyle w:val="60"/>
        <w:shd w:val="clear" w:color="auto" w:fill="auto"/>
        <w:spacing w:after="482"/>
        <w:ind w:left="2900"/>
      </w:pPr>
      <w:r w:rsidRPr="003056AA">
        <w:rPr>
          <w:rStyle w:val="61"/>
          <w:b/>
          <w:bCs/>
          <w:sz w:val="24"/>
          <w:szCs w:val="24"/>
        </w:rPr>
        <w:t>∑</w:t>
      </w:r>
      <w:r w:rsidR="00CE263E" w:rsidRPr="003056AA">
        <w:rPr>
          <w:rStyle w:val="61"/>
          <w:b/>
          <w:bCs/>
          <w:sz w:val="24"/>
          <w:szCs w:val="24"/>
        </w:rPr>
        <w:t>НЛ</w:t>
      </w:r>
      <w:r w:rsidR="00CE263E">
        <w:rPr>
          <w:rStyle w:val="61"/>
        </w:rPr>
        <w:t>(нифл,зн,тс)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50"/>
        <w:ind w:firstLine="720"/>
        <w:jc w:val="both"/>
      </w:pPr>
      <w:r w:rsidRPr="002607D7">
        <w:rPr>
          <w:rStyle w:val="22"/>
          <w:b/>
          <w:bCs/>
        </w:rPr>
        <w:t>К</w:t>
      </w:r>
      <w:r w:rsidRPr="002607D7">
        <w:rPr>
          <w:rStyle w:val="22"/>
          <w:b/>
          <w:bCs/>
          <w:sz w:val="24"/>
          <w:szCs w:val="24"/>
        </w:rPr>
        <w:t>бэ</w:t>
      </w:r>
      <w:r>
        <w:t xml:space="preserve"> - коэффициент бюджетной эффективности;</w:t>
      </w:r>
    </w:p>
    <w:p w:rsidR="001E0C9C" w:rsidRDefault="003056AA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475" w:lineRule="exact"/>
        <w:ind w:firstLine="720"/>
        <w:jc w:val="both"/>
      </w:pPr>
      <w:r>
        <w:rPr>
          <w:rStyle w:val="23"/>
        </w:rPr>
        <w:t>∆</w:t>
      </w:r>
      <w:r w:rsidR="00CE263E">
        <w:rPr>
          <w:rStyle w:val="23"/>
        </w:rPr>
        <w:t xml:space="preserve">НП </w:t>
      </w:r>
      <w:r w:rsidR="00CE263E">
        <w:t>- прирост налоговых поступлений в местный бюджет за отчетный (планируемый) период;</w:t>
      </w:r>
    </w:p>
    <w:p w:rsidR="001E0C9C" w:rsidRDefault="003056AA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480" w:lineRule="exact"/>
        <w:ind w:firstLine="720"/>
        <w:jc w:val="both"/>
      </w:pPr>
      <w:r w:rsidRPr="003056AA">
        <w:rPr>
          <w:rStyle w:val="210pt"/>
          <w:b/>
          <w:bCs/>
          <w:sz w:val="24"/>
          <w:szCs w:val="24"/>
        </w:rPr>
        <w:t>∑</w:t>
      </w:r>
      <w:r w:rsidR="00CE263E" w:rsidRPr="003056AA">
        <w:rPr>
          <w:rStyle w:val="210pt"/>
          <w:b/>
          <w:bCs/>
          <w:sz w:val="24"/>
          <w:szCs w:val="24"/>
        </w:rPr>
        <w:t>НЛ</w:t>
      </w:r>
      <w:r w:rsidR="00CE263E">
        <w:rPr>
          <w:rStyle w:val="210pt"/>
        </w:rPr>
        <w:t xml:space="preserve">(нифл,зн,тс) </w:t>
      </w:r>
      <w:r w:rsidR="00CE263E">
        <w:t xml:space="preserve">- общая сумма налоговых льгот, предоставленных в </w:t>
      </w:r>
      <w:r w:rsidR="00CE263E">
        <w:lastRenderedPageBreak/>
        <w:t xml:space="preserve">соответствии с </w:t>
      </w:r>
      <w:r w:rsidR="00CE263E">
        <w:t xml:space="preserve">законодательством, за отчетный (планируемый) период </w:t>
      </w:r>
      <w:r w:rsidR="00CE263E">
        <w:t>по налогу на имущество физических лиц</w:t>
      </w:r>
      <w:r w:rsidR="00A216D7">
        <w:t xml:space="preserve"> </w:t>
      </w:r>
      <w:r w:rsidR="00CE263E">
        <w:t>(НИФЛ), земельному налогу (ЗН), торговому сбору (ТС).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 xml:space="preserve">При </w:t>
      </w:r>
      <w:r>
        <w:rPr>
          <w:rStyle w:val="22"/>
        </w:rPr>
        <w:t>К</w:t>
      </w:r>
      <w:r w:rsidRPr="00A216D7">
        <w:rPr>
          <w:rStyle w:val="22"/>
          <w:sz w:val="24"/>
          <w:szCs w:val="24"/>
        </w:rPr>
        <w:t>бэ</w:t>
      </w:r>
      <w:r w:rsidRPr="00A216D7">
        <w:rPr>
          <w:sz w:val="24"/>
          <w:szCs w:val="24"/>
        </w:rPr>
        <w:t xml:space="preserve"> </w:t>
      </w:r>
      <w:r w:rsidR="00A216D7">
        <w:t>≥</w:t>
      </w:r>
      <w:r>
        <w:t xml:space="preserve"> 1 - налоговые льготы имеют положительный бюджетный эффект.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 xml:space="preserve">При </w:t>
      </w:r>
      <w:r>
        <w:rPr>
          <w:rStyle w:val="22"/>
        </w:rPr>
        <w:t>К</w:t>
      </w:r>
      <w:r w:rsidRPr="00A216D7">
        <w:rPr>
          <w:rStyle w:val="22"/>
          <w:sz w:val="24"/>
          <w:szCs w:val="24"/>
        </w:rPr>
        <w:t>бэ</w:t>
      </w:r>
      <w:r>
        <w:t xml:space="preserve"> </w:t>
      </w:r>
      <w:r w:rsidR="00A216D7" w:rsidRPr="00A216D7">
        <w:t>&lt;</w:t>
      </w:r>
      <w:r>
        <w:t xml:space="preserve"> 1 - налоговые льготы не имеют п</w:t>
      </w:r>
      <w:r>
        <w:t>оложительного бюджетного эффекта.</w:t>
      </w:r>
    </w:p>
    <w:p w:rsidR="001E0C9C" w:rsidRDefault="00CE263E">
      <w:pPr>
        <w:pStyle w:val="20"/>
        <w:numPr>
          <w:ilvl w:val="2"/>
          <w:numId w:val="2"/>
        </w:numPr>
        <w:shd w:val="clear" w:color="auto" w:fill="auto"/>
        <w:tabs>
          <w:tab w:val="left" w:pos="1622"/>
        </w:tabs>
        <w:spacing w:after="0" w:line="480" w:lineRule="exact"/>
        <w:ind w:firstLine="720"/>
        <w:jc w:val="both"/>
      </w:pPr>
      <w:r>
        <w:t>Экономическая эффективность, под которой понимается положительная динамика отдельных финансово-экономических показателей деятельности организаций.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>Для расчета коэффициента экономической эффективности (КЭЭ) используются сле</w:t>
      </w:r>
      <w:r>
        <w:t>дующие показатели:</w:t>
      </w:r>
    </w:p>
    <w:p w:rsidR="001E0C9C" w:rsidRDefault="00CE263E" w:rsidP="00A13D10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firstLine="1200"/>
        <w:jc w:val="both"/>
      </w:pPr>
      <w:r>
        <w:t>объем отгруженных товаров собственного производства, выполненных работ и услуг собственными силами (или показатель, характеризующий объем оказанных услуг);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480" w:lineRule="exact"/>
        <w:ind w:firstLine="720"/>
        <w:jc w:val="both"/>
      </w:pPr>
      <w:r>
        <w:t>выручка от реализации;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480" w:lineRule="exact"/>
        <w:ind w:firstLine="720"/>
        <w:jc w:val="both"/>
      </w:pPr>
      <w:r>
        <w:t>прибыль до налогообложения;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480" w:lineRule="exact"/>
        <w:ind w:firstLine="720"/>
        <w:jc w:val="both"/>
      </w:pPr>
      <w:r>
        <w:t xml:space="preserve">среднегодовая </w:t>
      </w:r>
      <w:r>
        <w:t>стоимость основных средств;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480" w:lineRule="exact"/>
        <w:ind w:firstLine="720"/>
        <w:jc w:val="both"/>
      </w:pPr>
      <w:r>
        <w:t>объем инвестиций.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>Экономическая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</w:t>
      </w:r>
      <w:r>
        <w:t>ателей, по которым произошло снижение.</w:t>
      </w:r>
    </w:p>
    <w:p w:rsidR="001E0C9C" w:rsidRDefault="00CE263E">
      <w:pPr>
        <w:pStyle w:val="60"/>
        <w:shd w:val="clear" w:color="auto" w:fill="auto"/>
        <w:tabs>
          <w:tab w:val="left" w:pos="2964"/>
        </w:tabs>
        <w:spacing w:line="222" w:lineRule="exact"/>
        <w:ind w:left="960"/>
        <w:jc w:val="both"/>
      </w:pPr>
      <w:r>
        <w:tab/>
        <w:t>Количество показателей, по которым произошел рост</w:t>
      </w:r>
    </w:p>
    <w:p w:rsidR="001E0C9C" w:rsidRDefault="00A13D10">
      <w:pPr>
        <w:pStyle w:val="60"/>
        <w:shd w:val="clear" w:color="auto" w:fill="auto"/>
        <w:tabs>
          <w:tab w:val="left" w:pos="2076"/>
          <w:tab w:val="left" w:leader="underscore" w:pos="2964"/>
          <w:tab w:val="left" w:leader="underscore" w:pos="3080"/>
          <w:tab w:val="left" w:leader="underscore" w:pos="8589"/>
          <w:tab w:val="left" w:leader="underscore" w:pos="8773"/>
        </w:tabs>
        <w:spacing w:line="222" w:lineRule="exact"/>
        <w:ind w:left="960"/>
        <w:jc w:val="both"/>
      </w:pPr>
      <w:r w:rsidRPr="00A13D10">
        <w:rPr>
          <w:b/>
          <w:bCs/>
          <w:sz w:val="24"/>
          <w:szCs w:val="24"/>
        </w:rPr>
        <w:t>КЭЭ</w:t>
      </w:r>
      <w:r>
        <w:t xml:space="preserve"> =</w:t>
      </w:r>
      <w:r w:rsidR="00CE263E">
        <w:tab/>
      </w:r>
      <w:r>
        <w:t>___________________________________________________________</w:t>
      </w:r>
    </w:p>
    <w:p w:rsidR="001E0C9C" w:rsidRDefault="00CE263E">
      <w:pPr>
        <w:pStyle w:val="60"/>
        <w:shd w:val="clear" w:color="auto" w:fill="auto"/>
        <w:spacing w:after="309" w:line="222" w:lineRule="exact"/>
        <w:ind w:left="2760"/>
      </w:pPr>
      <w:r>
        <w:t>Количество показателей, по которым произошло снижение</w:t>
      </w:r>
    </w:p>
    <w:p w:rsidR="001E0C9C" w:rsidRDefault="00CE263E">
      <w:pPr>
        <w:pStyle w:val="20"/>
        <w:shd w:val="clear" w:color="auto" w:fill="auto"/>
        <w:spacing w:after="0" w:line="461" w:lineRule="exact"/>
        <w:ind w:firstLine="720"/>
        <w:jc w:val="both"/>
      </w:pPr>
      <w:r>
        <w:t xml:space="preserve">При КЭЭ </w:t>
      </w:r>
      <w:r w:rsidR="00A13D10">
        <w:t>≥</w:t>
      </w:r>
      <w:r>
        <w:t xml:space="preserve"> 1 - налоговые льготы имеют положительный экономический эффект.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 xml:space="preserve">При КЭЭ &lt; 1 - </w:t>
      </w:r>
      <w:r>
        <w:t>налоговые льготы не имеют положительного экономического эффекта.</w:t>
      </w:r>
    </w:p>
    <w:p w:rsidR="001E0C9C" w:rsidRDefault="00CE263E">
      <w:pPr>
        <w:pStyle w:val="20"/>
        <w:numPr>
          <w:ilvl w:val="2"/>
          <w:numId w:val="2"/>
        </w:numPr>
        <w:shd w:val="clear" w:color="auto" w:fill="auto"/>
        <w:tabs>
          <w:tab w:val="left" w:pos="1486"/>
        </w:tabs>
        <w:spacing w:after="0" w:line="480" w:lineRule="exact"/>
        <w:ind w:firstLine="720"/>
        <w:jc w:val="both"/>
      </w:pPr>
      <w:r>
        <w:t>Социальная эффективность, под которой понимается повышение уровня жизни населения, его социальной защищенности и обеспечение занятости.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>Для расчета коэффициента социальной эффективности (КСЭ)</w:t>
      </w:r>
      <w:r>
        <w:t xml:space="preserve"> используются </w:t>
      </w:r>
      <w:r>
        <w:lastRenderedPageBreak/>
        <w:t>следующие показатели: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480" w:lineRule="exact"/>
        <w:ind w:firstLine="720"/>
        <w:jc w:val="both"/>
      </w:pPr>
      <w:r>
        <w:t>среднесписочная численность работников;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480" w:lineRule="exact"/>
        <w:ind w:firstLine="720"/>
        <w:jc w:val="both"/>
      </w:pPr>
      <w:r>
        <w:t>среднемесячная заработная плата работников;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480" w:lineRule="exact"/>
        <w:ind w:firstLine="720"/>
        <w:jc w:val="both"/>
      </w:pPr>
      <w:r>
        <w:t>расходы на улучшение условий охраны труда;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480" w:lineRule="exact"/>
        <w:ind w:firstLine="720"/>
        <w:jc w:val="both"/>
      </w:pPr>
      <w:r>
        <w:t>расходы на благотворительные цели;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480" w:lineRule="exact"/>
        <w:ind w:firstLine="720"/>
        <w:jc w:val="both"/>
      </w:pPr>
      <w:r>
        <w:t>расходы на повышение экологической безопасности.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>Социальна</w:t>
      </w:r>
      <w:r>
        <w:t>я эффективность рассчитывается как отношение количества</w:t>
      </w:r>
    </w:p>
    <w:p w:rsidR="001E0C9C" w:rsidRDefault="00CE263E">
      <w:pPr>
        <w:pStyle w:val="20"/>
        <w:shd w:val="clear" w:color="auto" w:fill="auto"/>
        <w:spacing w:after="0" w:line="480" w:lineRule="exact"/>
        <w:jc w:val="both"/>
      </w:pPr>
      <w:r>
        <w:t>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</w:t>
      </w:r>
    </w:p>
    <w:p w:rsidR="001E0C9C" w:rsidRDefault="00CE263E">
      <w:pPr>
        <w:pStyle w:val="60"/>
        <w:shd w:val="clear" w:color="auto" w:fill="auto"/>
        <w:tabs>
          <w:tab w:val="left" w:pos="2964"/>
        </w:tabs>
        <w:spacing w:line="173" w:lineRule="exact"/>
        <w:ind w:left="960"/>
        <w:jc w:val="both"/>
      </w:pPr>
      <w:r>
        <w:tab/>
        <w:t xml:space="preserve">Количество </w:t>
      </w:r>
      <w:r>
        <w:t>показателей, по которым произошел рост</w:t>
      </w:r>
    </w:p>
    <w:p w:rsidR="001E0C9C" w:rsidRDefault="00A13D10">
      <w:pPr>
        <w:pStyle w:val="20"/>
        <w:shd w:val="clear" w:color="auto" w:fill="auto"/>
        <w:tabs>
          <w:tab w:val="left" w:pos="2076"/>
          <w:tab w:val="left" w:leader="hyphen" w:pos="8589"/>
        </w:tabs>
        <w:spacing w:after="0" w:line="173" w:lineRule="exact"/>
        <w:ind w:left="960"/>
        <w:jc w:val="both"/>
      </w:pPr>
      <w:r w:rsidRPr="00A13D10">
        <w:rPr>
          <w:b/>
          <w:bCs/>
          <w:sz w:val="28"/>
          <w:szCs w:val="28"/>
        </w:rPr>
        <w:t>ксэ</w:t>
      </w:r>
      <w:r>
        <w:t xml:space="preserve"> =</w:t>
      </w:r>
      <w:r w:rsidR="00CE263E">
        <w:tab/>
      </w:r>
      <w:r w:rsidR="00CE263E">
        <w:tab/>
      </w:r>
    </w:p>
    <w:p w:rsidR="001E0C9C" w:rsidRDefault="00CE263E">
      <w:pPr>
        <w:pStyle w:val="60"/>
        <w:shd w:val="clear" w:color="auto" w:fill="auto"/>
        <w:spacing w:after="254" w:line="173" w:lineRule="exact"/>
        <w:ind w:left="2760"/>
      </w:pPr>
      <w:r>
        <w:t>Количество показателей, по которым произошло снижение</w:t>
      </w:r>
    </w:p>
    <w:p w:rsidR="001E0C9C" w:rsidRDefault="00CE263E">
      <w:pPr>
        <w:pStyle w:val="20"/>
        <w:shd w:val="clear" w:color="auto" w:fill="auto"/>
        <w:spacing w:after="0" w:line="480" w:lineRule="exact"/>
        <w:ind w:firstLine="720"/>
        <w:jc w:val="both"/>
      </w:pPr>
      <w:r>
        <w:t xml:space="preserve">При КСЭ </w:t>
      </w:r>
      <w:r w:rsidR="00A13D10">
        <w:t>≥</w:t>
      </w:r>
      <w:r>
        <w:t xml:space="preserve"> 1 - налоговые льготы имеют положительный социальный эффект.</w:t>
      </w:r>
    </w:p>
    <w:p w:rsidR="001E0C9C" w:rsidRDefault="00CE263E" w:rsidP="00A13D10">
      <w:pPr>
        <w:pStyle w:val="20"/>
        <w:shd w:val="clear" w:color="auto" w:fill="auto"/>
        <w:tabs>
          <w:tab w:val="left" w:pos="2640"/>
          <w:tab w:val="left" w:pos="2964"/>
        </w:tabs>
        <w:spacing w:after="0" w:line="480" w:lineRule="exact"/>
        <w:ind w:firstLine="720"/>
        <w:jc w:val="both"/>
      </w:pPr>
      <w:r>
        <w:t>При КСЭ &lt;</w:t>
      </w:r>
      <w:r>
        <w:t>1</w:t>
      </w:r>
      <w:r>
        <w:tab/>
        <w:t>- налоговые льготы не имеют положительного</w:t>
      </w:r>
      <w:r w:rsidR="00A13D10">
        <w:t xml:space="preserve"> </w:t>
      </w:r>
      <w:r>
        <w:t>социального эффекта.</w:t>
      </w:r>
    </w:p>
    <w:p w:rsidR="001E0C9C" w:rsidRDefault="00CE263E" w:rsidP="00A13D10">
      <w:pPr>
        <w:pStyle w:val="40"/>
        <w:numPr>
          <w:ilvl w:val="0"/>
          <w:numId w:val="2"/>
        </w:numPr>
        <w:shd w:val="clear" w:color="auto" w:fill="auto"/>
        <w:tabs>
          <w:tab w:val="left" w:pos="1224"/>
        </w:tabs>
        <w:spacing w:before="0" w:line="480" w:lineRule="exact"/>
        <w:ind w:left="460" w:firstLine="400"/>
      </w:pPr>
      <w:r>
        <w:t>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обязательств другими</w:t>
      </w:r>
    </w:p>
    <w:p w:rsidR="001E0C9C" w:rsidRDefault="00CE263E" w:rsidP="00A13D10">
      <w:pPr>
        <w:pStyle w:val="40"/>
        <w:shd w:val="clear" w:color="auto" w:fill="auto"/>
        <w:spacing w:before="0" w:line="480" w:lineRule="exact"/>
        <w:ind w:left="20"/>
      </w:pPr>
      <w:r>
        <w:t>способами по сделкам, совершаемым юридическими лицами и</w:t>
      </w:r>
      <w:r>
        <w:br/>
        <w:t>индивидуальными предпринимателя</w:t>
      </w:r>
      <w:r>
        <w:t>ми за счет средств местного</w:t>
      </w:r>
      <w:r>
        <w:br/>
        <w:t>бюджета и имущества, находящегося в муниципальной собственности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480" w:lineRule="exact"/>
        <w:ind w:firstLine="740"/>
        <w:jc w:val="both"/>
      </w:pPr>
      <w:r>
        <w:t xml:space="preserve"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</w:t>
      </w:r>
      <w:r>
        <w:t xml:space="preserve">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="00A13D10">
        <w:t xml:space="preserve"> Талдомского </w:t>
      </w:r>
      <w:r>
        <w:t>городского округа</w:t>
      </w:r>
      <w:r w:rsidR="00A13D10">
        <w:t>,</w:t>
      </w:r>
      <w:r>
        <w:t xml:space="preserve"> </w:t>
      </w:r>
      <w:r>
        <w:t>проводится в рамках проверки соблюдения требований бюджетног</w:t>
      </w:r>
      <w:r>
        <w:t>о и иного законодательства, связанного с вопросами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</w:t>
      </w:r>
      <w:r>
        <w:t xml:space="preserve">тв </w:t>
      </w:r>
      <w:r>
        <w:lastRenderedPageBreak/>
        <w:t xml:space="preserve">местного бюджета и имущества, находящегося в муниципальной собственности </w:t>
      </w:r>
      <w:r w:rsidR="00A13D10">
        <w:t xml:space="preserve">Талдомского </w:t>
      </w:r>
      <w:r>
        <w:t>городского округа</w:t>
      </w:r>
      <w:r>
        <w:t>.</w:t>
      </w:r>
    </w:p>
    <w:p w:rsidR="001E0C9C" w:rsidRDefault="00CE263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after="484" w:line="480" w:lineRule="exact"/>
        <w:ind w:firstLine="740"/>
        <w:jc w:val="both"/>
      </w:pPr>
      <w:r>
        <w:t>Оценка по вопросам, указанным в пункте 4.1 Стандарта, проводится путем контрольного мероприятия в соответствии с законодательством.</w:t>
      </w:r>
    </w:p>
    <w:p w:rsidR="001E0C9C" w:rsidRDefault="00CE263E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475" w:lineRule="exact"/>
        <w:ind w:firstLine="740"/>
        <w:jc w:val="both"/>
      </w:pPr>
      <w:bookmarkStart w:id="4" w:name="bookmark3"/>
      <w:r>
        <w:t>Порядок оформлени</w:t>
      </w:r>
      <w:r>
        <w:t>я результатов проведения контрольного</w:t>
      </w:r>
      <w:bookmarkEnd w:id="4"/>
    </w:p>
    <w:p w:rsidR="001E0C9C" w:rsidRDefault="00CE263E">
      <w:pPr>
        <w:pStyle w:val="12"/>
        <w:keepNext/>
        <w:keepLines/>
        <w:shd w:val="clear" w:color="auto" w:fill="auto"/>
        <w:spacing w:after="0" w:line="475" w:lineRule="exact"/>
        <w:ind w:left="20" w:firstLine="0"/>
        <w:jc w:val="center"/>
      </w:pPr>
      <w:bookmarkStart w:id="5" w:name="bookmark4"/>
      <w:r>
        <w:t>мероприятия</w:t>
      </w:r>
      <w:bookmarkEnd w:id="5"/>
    </w:p>
    <w:p w:rsidR="001E0C9C" w:rsidRDefault="00CE263E">
      <w:pPr>
        <w:pStyle w:val="20"/>
        <w:shd w:val="clear" w:color="auto" w:fill="auto"/>
        <w:spacing w:after="0" w:line="475" w:lineRule="exact"/>
        <w:ind w:firstLine="600"/>
        <w:jc w:val="both"/>
      </w:pPr>
      <w:r>
        <w:t>5.1. Порядок оформления результатов контрольного мероприятия целевого использования средств, высвободившихся от налогообложения в результате предоставления налоговых льгот, оценки эффективности предоставлен</w:t>
      </w:r>
      <w:r>
        <w:t>ия налоговых и иных льгот и преимуществ, оценки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</w:t>
      </w:r>
      <w:r>
        <w:t xml:space="preserve">нимателями за счет средств местного бюджета и имущества, находящегося в муниципальной собственности </w:t>
      </w:r>
      <w:r w:rsidR="00A57981">
        <w:t xml:space="preserve">Талдомского </w:t>
      </w:r>
      <w:r>
        <w:t>городского округа</w:t>
      </w:r>
      <w:r>
        <w:t>, осуществляется в соответствии</w:t>
      </w:r>
      <w:r w:rsidR="00A57981">
        <w:t xml:space="preserve"> со</w:t>
      </w:r>
      <w:r>
        <w:t xml:space="preserve"> Стандартом внешнего муниципального финансового контроля «Общие правила проведения контрольного </w:t>
      </w:r>
      <w:r>
        <w:t>мероприятия».</w:t>
      </w:r>
    </w:p>
    <w:p w:rsidR="001E0C9C" w:rsidRDefault="00CE263E">
      <w:pPr>
        <w:pStyle w:val="20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480" w:lineRule="exact"/>
        <w:ind w:firstLine="600"/>
        <w:jc w:val="both"/>
      </w:pPr>
      <w:r>
        <w:t>Результаты оценки эффективности предоставления налоговых и иных льгот и преимуществ отражаются в отчете о результатах контрольного мероприятия, содержащем следующую информацию: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480" w:lineRule="exact"/>
        <w:ind w:firstLine="600"/>
        <w:jc w:val="both"/>
      </w:pPr>
      <w:r>
        <w:t xml:space="preserve">реестр предоставленных налоговых и иных льгот и </w:t>
      </w:r>
      <w:r>
        <w:t>преимуществ;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80" w:lineRule="exact"/>
        <w:ind w:firstLine="600"/>
        <w:jc w:val="both"/>
      </w:pPr>
      <w:r>
        <w:t>сумму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75" w:lineRule="exact"/>
        <w:ind w:firstLine="600"/>
        <w:jc w:val="both"/>
      </w:pPr>
      <w:r>
        <w:t>оценку достижения целей, в обеспечение которых предоставлены налоговые и иные льготы и преимущества;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80" w:lineRule="exact"/>
        <w:ind w:firstLine="600"/>
        <w:jc w:val="both"/>
      </w:pPr>
      <w:r>
        <w:t>предложени</w:t>
      </w:r>
      <w:r>
        <w:t>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1E0C9C" w:rsidRDefault="00CE263E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480" w:lineRule="exact"/>
        <w:ind w:firstLine="600"/>
        <w:jc w:val="both"/>
      </w:pPr>
      <w:r>
        <w:t>Результаты оценки эффективности предоставления налоговых и иных льгот и преимуществ могут использоваться для: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85" w:lineRule="exact"/>
        <w:ind w:firstLine="600"/>
        <w:jc w:val="both"/>
      </w:pPr>
      <w:r>
        <w:t>разработки бюдже</w:t>
      </w:r>
      <w:r>
        <w:t xml:space="preserve">та </w:t>
      </w:r>
      <w:r w:rsidR="00A57981">
        <w:t xml:space="preserve">Талдомского </w:t>
      </w:r>
      <w:r>
        <w:t>городского округа</w:t>
      </w:r>
      <w:r>
        <w:t xml:space="preserve"> на очередной </w:t>
      </w:r>
      <w:r>
        <w:lastRenderedPageBreak/>
        <w:t>финансовый год и плановый период;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85" w:lineRule="exact"/>
        <w:ind w:firstLine="600"/>
        <w:jc w:val="both"/>
      </w:pPr>
      <w:r>
        <w:t>своевременного принятия мер по отмене неэффективных налоговых и иных льгот и преимуществ;</w:t>
      </w:r>
    </w:p>
    <w:p w:rsidR="001E0C9C" w:rsidRDefault="00CE263E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485" w:lineRule="exact"/>
        <w:ind w:firstLine="600"/>
        <w:jc w:val="both"/>
      </w:pPr>
      <w:r>
        <w:t>введения новых видов налоговых и иных льгот и преимуществ (внесения изменений в предос</w:t>
      </w:r>
      <w:r>
        <w:t>тавленные налоговые и иные льготы и преимущества).</w:t>
      </w:r>
    </w:p>
    <w:p w:rsidR="001E0C9C" w:rsidRDefault="00CE263E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485" w:lineRule="exact"/>
        <w:ind w:firstLine="780"/>
        <w:jc w:val="both"/>
      </w:pPr>
      <w:r>
        <w:t>Информация о результатах контрольного мероприятия направляется в Совет депутатов</w:t>
      </w:r>
      <w:r w:rsidR="00A57981">
        <w:t xml:space="preserve"> Талдомского</w:t>
      </w:r>
      <w:r>
        <w:t xml:space="preserve"> городского округа</w:t>
      </w:r>
      <w:r>
        <w:t xml:space="preserve"> и Главе</w:t>
      </w:r>
      <w:r w:rsidR="00A57981">
        <w:t xml:space="preserve"> Талдомского</w:t>
      </w:r>
      <w:r>
        <w:t xml:space="preserve"> городского округа</w:t>
      </w:r>
      <w:r>
        <w:t>.</w:t>
      </w:r>
    </w:p>
    <w:sectPr w:rsidR="001E0C9C">
      <w:headerReference w:type="default" r:id="rId7"/>
      <w:pgSz w:w="11900" w:h="16840"/>
      <w:pgMar w:top="1426" w:right="853" w:bottom="1008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3E" w:rsidRDefault="00CE263E">
      <w:r>
        <w:separator/>
      </w:r>
    </w:p>
  </w:endnote>
  <w:endnote w:type="continuationSeparator" w:id="0">
    <w:p w:rsidR="00CE263E" w:rsidRDefault="00C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3E" w:rsidRDefault="00CE263E"/>
  </w:footnote>
  <w:footnote w:type="continuationSeparator" w:id="0">
    <w:p w:rsidR="00CE263E" w:rsidRDefault="00CE2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C9C" w:rsidRDefault="009B2A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margin">
                <wp:posOffset>2924175</wp:posOffset>
              </wp:positionH>
              <wp:positionV relativeFrom="page">
                <wp:posOffset>657224</wp:posOffset>
              </wp:positionV>
              <wp:extent cx="180975" cy="1428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C9C" w:rsidRDefault="00CE263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25pt;margin-top:51.75pt;width:14.25pt;height:11.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" filled="f" stroked="f">
              <v:textbox inset="0,0,0,0">
                <w:txbxContent>
                  <w:p w:rsidR="001E0C9C" w:rsidRDefault="00CE263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b/>
                        <w:bCs/>
                      </w:rPr>
                      <w:t>#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00AA"/>
    <w:multiLevelType w:val="multilevel"/>
    <w:tmpl w:val="3B6E4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95BD2"/>
    <w:multiLevelType w:val="multilevel"/>
    <w:tmpl w:val="8DAA5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1A6549"/>
    <w:multiLevelType w:val="multilevel"/>
    <w:tmpl w:val="00725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A66A47"/>
    <w:multiLevelType w:val="multilevel"/>
    <w:tmpl w:val="CC0A3A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9C"/>
    <w:rsid w:val="001E0C9C"/>
    <w:rsid w:val="001F4ADB"/>
    <w:rsid w:val="002607D7"/>
    <w:rsid w:val="003056AA"/>
    <w:rsid w:val="0036479A"/>
    <w:rsid w:val="007312E5"/>
    <w:rsid w:val="009B2AA3"/>
    <w:rsid w:val="00A13D10"/>
    <w:rsid w:val="00A216D7"/>
    <w:rsid w:val="00A57981"/>
    <w:rsid w:val="00CE263E"/>
    <w:rsid w:val="00D36EE1"/>
    <w:rsid w:val="00D53872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ECC8A"/>
  <w15:docId w15:val="{BF04322F-B34F-4C6D-A5E1-ED7946D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3pt">
    <w:name w:val="Основной текст (6) + 13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pPr>
      <w:shd w:val="clear" w:color="auto" w:fill="FFFFFF"/>
      <w:spacing w:before="660" w:after="2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00" w:line="288" w:lineRule="exact"/>
      <w:ind w:hanging="18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53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872"/>
    <w:rPr>
      <w:color w:val="000000"/>
    </w:rPr>
  </w:style>
  <w:style w:type="paragraph" w:styleId="a8">
    <w:name w:val="footer"/>
    <w:basedOn w:val="a"/>
    <w:link w:val="a9"/>
    <w:uiPriority w:val="99"/>
    <w:unhideWhenUsed/>
    <w:rsid w:val="00D53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8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2020-05-28T12:32:00Z</dcterms:created>
  <dcterms:modified xsi:type="dcterms:W3CDTF">2020-05-28T13:03:00Z</dcterms:modified>
</cp:coreProperties>
</file>